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1BF3" w14:textId="4E76EDD4" w:rsidR="00CD1D8E" w:rsidRDefault="00CD1D8E" w:rsidP="00CD1D8E">
      <w:pPr>
        <w:pStyle w:val="Title"/>
        <w:jc w:val="center"/>
        <w:rPr>
          <w:sz w:val="44"/>
          <w:szCs w:val="44"/>
        </w:rPr>
      </w:pPr>
      <w:commentRangeStart w:id="0"/>
      <w:r>
        <w:rPr>
          <w:sz w:val="44"/>
          <w:szCs w:val="44"/>
        </w:rPr>
        <w:t>Usage</w:t>
      </w:r>
      <w:commentRangeEnd w:id="0"/>
      <w:r>
        <w:rPr>
          <w:rStyle w:val="CommentReference"/>
          <w:rFonts w:asciiTheme="minorHAnsi" w:eastAsiaTheme="minorHAnsi" w:hAnsiTheme="minorHAnsi" w:cstheme="minorBidi"/>
          <w:spacing w:val="0"/>
          <w:kern w:val="0"/>
        </w:rPr>
        <w:commentReference w:id="0"/>
      </w:r>
      <w:r>
        <w:rPr>
          <w:sz w:val="44"/>
          <w:szCs w:val="44"/>
        </w:rPr>
        <w:t xml:space="preserve"> of </w:t>
      </w:r>
      <w:r w:rsidR="00C708D7">
        <w:rPr>
          <w:sz w:val="44"/>
          <w:szCs w:val="44"/>
        </w:rPr>
        <w:t xml:space="preserve">Waiver: </w:t>
      </w:r>
      <w:r>
        <w:rPr>
          <w:sz w:val="44"/>
          <w:szCs w:val="44"/>
        </w:rPr>
        <w:t xml:space="preserve">Limit on Housing Search &amp; Counseling Services </w:t>
      </w:r>
    </w:p>
    <w:p w14:paraId="1A14E8DC" w14:textId="77777777" w:rsidR="00CD1D8E" w:rsidRPr="007C4963" w:rsidRDefault="00CD1D8E" w:rsidP="00CD1D8E">
      <w:pPr>
        <w:pStyle w:val="Title"/>
        <w:jc w:val="center"/>
        <w:rPr>
          <w:b/>
          <w:bCs/>
          <w:sz w:val="24"/>
          <w:szCs w:val="24"/>
        </w:rPr>
      </w:pPr>
      <w:proofErr w:type="spellStart"/>
      <w:r w:rsidRPr="007C4963">
        <w:rPr>
          <w:b/>
          <w:bCs/>
          <w:sz w:val="24"/>
          <w:szCs w:val="24"/>
        </w:rPr>
        <w:t>CoC</w:t>
      </w:r>
      <w:proofErr w:type="spellEnd"/>
      <w:r w:rsidRPr="007C4963">
        <w:rPr>
          <w:b/>
          <w:bCs/>
          <w:sz w:val="24"/>
          <w:szCs w:val="24"/>
        </w:rPr>
        <w:t xml:space="preserve"> Program</w:t>
      </w:r>
    </w:p>
    <w:p w14:paraId="2F360083" w14:textId="77777777" w:rsidR="00CD1D8E" w:rsidRPr="0066353B" w:rsidRDefault="00CD1D8E" w:rsidP="00CD1D8E">
      <w:pPr>
        <w:rPr>
          <w:sz w:val="16"/>
          <w:szCs w:val="16"/>
        </w:rPr>
      </w:pPr>
    </w:p>
    <w:p w14:paraId="561AD7BB" w14:textId="437E3EA8" w:rsidR="00B156BD" w:rsidRDefault="00CD1D8E" w:rsidP="00CD1D8E">
      <w:pPr>
        <w:rPr>
          <w:sz w:val="22"/>
          <w:szCs w:val="22"/>
        </w:rPr>
      </w:pPr>
      <w:r w:rsidRPr="00D770DD">
        <w:rPr>
          <w:sz w:val="22"/>
          <w:szCs w:val="22"/>
        </w:rPr>
        <w:t>On March 31, 2020, the Department of Housing and Urban Development issued a memorandum regarding “Availability of Waivers of Community Planning and Development (CPD) Grant Program and Consolidated Plan Requirements to Prevent the Spread of COVID-19 and Mitigate Economic Impacts Caused by COVID-19.” Th</w:t>
      </w:r>
      <w:r>
        <w:rPr>
          <w:sz w:val="22"/>
          <w:szCs w:val="22"/>
        </w:rPr>
        <w:t>e</w:t>
      </w:r>
      <w:r w:rsidRPr="00D770DD">
        <w:rPr>
          <w:sz w:val="22"/>
          <w:szCs w:val="22"/>
        </w:rPr>
        <w:t xml:space="preserve"> memorandum outlined waivers of </w:t>
      </w:r>
      <w:proofErr w:type="spellStart"/>
      <w:r w:rsidRPr="00D770DD">
        <w:rPr>
          <w:sz w:val="22"/>
          <w:szCs w:val="22"/>
        </w:rPr>
        <w:t>CoC</w:t>
      </w:r>
      <w:proofErr w:type="spellEnd"/>
      <w:r w:rsidRPr="00D770DD">
        <w:rPr>
          <w:sz w:val="22"/>
          <w:szCs w:val="22"/>
        </w:rPr>
        <w:t xml:space="preserve"> Program grant requirements available to all </w:t>
      </w:r>
      <w:proofErr w:type="spellStart"/>
      <w:r w:rsidRPr="00D770DD">
        <w:rPr>
          <w:sz w:val="22"/>
          <w:szCs w:val="22"/>
        </w:rPr>
        <w:t>CoC</w:t>
      </w:r>
      <w:proofErr w:type="spellEnd"/>
      <w:r w:rsidRPr="00D770DD">
        <w:rPr>
          <w:sz w:val="22"/>
          <w:szCs w:val="22"/>
        </w:rPr>
        <w:t xml:space="preserve"> grant recipients.</w:t>
      </w:r>
      <w:r>
        <w:rPr>
          <w:sz w:val="22"/>
          <w:szCs w:val="22"/>
        </w:rPr>
        <w:t xml:space="preserve"> </w:t>
      </w:r>
      <w:r w:rsidRPr="002460F3">
        <w:rPr>
          <w:sz w:val="22"/>
          <w:szCs w:val="22"/>
          <w:highlight w:val="yellow"/>
        </w:rPr>
        <w:t>[RECIPIENT NAME]</w:t>
      </w:r>
      <w:r>
        <w:rPr>
          <w:sz w:val="22"/>
          <w:szCs w:val="22"/>
        </w:rPr>
        <w:t xml:space="preserve"> notified the HUD San Francisco Regional Office of our intent to implement the Limit on Eligible Housing Search and Counseling Services waiver on </w:t>
      </w:r>
      <w:r w:rsidRPr="002460F3">
        <w:rPr>
          <w:sz w:val="22"/>
          <w:szCs w:val="22"/>
          <w:highlight w:val="yellow"/>
        </w:rPr>
        <w:t>[DATE]</w:t>
      </w:r>
      <w:r>
        <w:rPr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B156BD" w:rsidRPr="005919EE" w14:paraId="6C4B088B" w14:textId="77777777" w:rsidTr="00195C6E">
        <w:trPr>
          <w:trHeight w:val="391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103F6D26" w14:textId="77777777" w:rsidR="00B156BD" w:rsidRPr="005919EE" w:rsidRDefault="00B156BD" w:rsidP="00195C6E">
            <w:pPr>
              <w:rPr>
                <w:b/>
                <w:bCs/>
                <w:sz w:val="24"/>
                <w:szCs w:val="24"/>
              </w:rPr>
            </w:pPr>
            <w:r w:rsidRPr="005919EE">
              <w:rPr>
                <w:b/>
                <w:bCs/>
                <w:sz w:val="24"/>
                <w:szCs w:val="24"/>
              </w:rPr>
              <w:t>Limit on Eligible Housing Search and Counseling Services</w:t>
            </w:r>
          </w:p>
        </w:tc>
      </w:tr>
      <w:tr w:rsidR="00B156BD" w:rsidRPr="005919EE" w14:paraId="5DD80680" w14:textId="77777777" w:rsidTr="00195C6E">
        <w:trPr>
          <w:trHeight w:val="1482"/>
        </w:trPr>
        <w:tc>
          <w:tcPr>
            <w:tcW w:w="5000" w:type="pct"/>
            <w:shd w:val="clear" w:color="auto" w:fill="auto"/>
            <w:vAlign w:val="center"/>
          </w:tcPr>
          <w:p w14:paraId="1593B01D" w14:textId="77777777" w:rsidR="00B156BD" w:rsidRPr="005919EE" w:rsidRDefault="00B156BD" w:rsidP="00195C6E">
            <w:pPr>
              <w:rPr>
                <w:sz w:val="24"/>
                <w:szCs w:val="24"/>
              </w:rPr>
            </w:pPr>
            <w:r w:rsidRPr="005919EE">
              <w:rPr>
                <w:sz w:val="24"/>
                <w:szCs w:val="24"/>
              </w:rPr>
              <w:t>The limitation on eligible housing search and counseling activities is waived so</w:t>
            </w:r>
            <w:r>
              <w:rPr>
                <w:sz w:val="24"/>
                <w:szCs w:val="24"/>
              </w:rPr>
              <w:t xml:space="preserve"> that</w:t>
            </w:r>
            <w:r w:rsidRPr="005919EE">
              <w:rPr>
                <w:sz w:val="24"/>
                <w:szCs w:val="24"/>
              </w:rPr>
              <w:t xml:space="preserve"> </w:t>
            </w:r>
            <w:r w:rsidRPr="005919EE">
              <w:rPr>
                <w:b/>
                <w:bCs/>
                <w:sz w:val="24"/>
                <w:szCs w:val="24"/>
              </w:rPr>
              <w:t>Supportive Services funds may be used for utility arrears and rent arrears (up to six months)</w:t>
            </w:r>
            <w:r w:rsidRPr="005919EE">
              <w:rPr>
                <w:sz w:val="24"/>
                <w:szCs w:val="24"/>
              </w:rPr>
              <w:t>, when those arrears</w:t>
            </w:r>
            <w:r>
              <w:rPr>
                <w:sz w:val="24"/>
                <w:szCs w:val="24"/>
              </w:rPr>
              <w:t xml:space="preserve"> are an obstacle </w:t>
            </w:r>
            <w:r w:rsidRPr="005919EE">
              <w:rPr>
                <w:sz w:val="24"/>
                <w:szCs w:val="24"/>
              </w:rPr>
              <w:t>to obtain</w:t>
            </w:r>
            <w:r>
              <w:rPr>
                <w:sz w:val="24"/>
                <w:szCs w:val="24"/>
              </w:rPr>
              <w:t>ing</w:t>
            </w:r>
            <w:r w:rsidRPr="005919EE">
              <w:rPr>
                <w:sz w:val="24"/>
                <w:szCs w:val="24"/>
              </w:rPr>
              <w:t xml:space="preserve"> housing. Waiver is in effect one year beginning on the date of HUD’s memo (March 31, 2020 – March 30, 2021).</w:t>
            </w:r>
          </w:p>
        </w:tc>
      </w:tr>
    </w:tbl>
    <w:p w14:paraId="3245B041" w14:textId="156359E3" w:rsidR="006B6E74" w:rsidRPr="006B6E74" w:rsidRDefault="006B6E74" w:rsidP="006B6E74">
      <w:pPr>
        <w:pStyle w:val="Heading1"/>
      </w:pPr>
      <w:r w:rsidRPr="006B6E74">
        <w:t>Instructions</w:t>
      </w:r>
    </w:p>
    <w:p w14:paraId="438B5A7A" w14:textId="3736679D" w:rsidR="00FD2F53" w:rsidRPr="00FD2F53" w:rsidRDefault="00B339D4" w:rsidP="00D770DD">
      <w:r w:rsidRPr="00FD2F53">
        <w:t xml:space="preserve">This form documents </w:t>
      </w:r>
      <w:r w:rsidR="0055080D" w:rsidRPr="00FD2F53">
        <w:t>the</w:t>
      </w:r>
      <w:r w:rsidRPr="00FD2F53">
        <w:t xml:space="preserve"> use of </w:t>
      </w:r>
      <w:r w:rsidR="006B6E74" w:rsidRPr="00FD2F53">
        <w:t xml:space="preserve">the </w:t>
      </w:r>
      <w:r w:rsidR="005919EE">
        <w:t>Limit on Eligible Housing Search and Counseling Services</w:t>
      </w:r>
      <w:r w:rsidR="00FD2F53" w:rsidRPr="005919EE">
        <w:t xml:space="preserve"> waiver. The waiver may only be used when</w:t>
      </w:r>
      <w:r w:rsidR="00383472" w:rsidRPr="005919EE">
        <w:t xml:space="preserve"> </w:t>
      </w:r>
      <w:r w:rsidR="005919EE" w:rsidRPr="005919EE">
        <w:t xml:space="preserve">necessary to enable </w:t>
      </w:r>
      <w:r w:rsidR="00881606">
        <w:t>the</w:t>
      </w:r>
      <w:r w:rsidR="005919EE" w:rsidRPr="005919EE">
        <w:t xml:space="preserve"> client to safely obtain or retain permanent housing</w:t>
      </w:r>
      <w:r w:rsidRPr="005919EE">
        <w:t xml:space="preserve">, in accordance with the </w:t>
      </w:r>
      <w:proofErr w:type="spellStart"/>
      <w:r w:rsidR="0055080D" w:rsidRPr="005919EE">
        <w:t>CoC’s</w:t>
      </w:r>
      <w:proofErr w:type="spellEnd"/>
      <w:r w:rsidR="0055080D" w:rsidRPr="005919EE">
        <w:t xml:space="preserve"> Quality Assurance</w:t>
      </w:r>
      <w:r w:rsidR="0055080D" w:rsidRPr="00FD2F53">
        <w:t xml:space="preserve"> Standards and </w:t>
      </w:r>
      <w:r w:rsidR="0055080D" w:rsidRPr="00FD2F53">
        <w:rPr>
          <w:highlight w:val="yellow"/>
        </w:rPr>
        <w:t>[RECIPIENT/SUBRECIPIENT NAME]</w:t>
      </w:r>
      <w:r w:rsidR="0055080D" w:rsidRPr="00FD2F53">
        <w:t>’s written policies</w:t>
      </w:r>
      <w:r w:rsidRPr="00FD2F53">
        <w:t>.</w:t>
      </w:r>
      <w:r w:rsidR="00FD2F53">
        <w:t xml:space="preserve"> </w:t>
      </w:r>
      <w:r w:rsidR="00FD2F53" w:rsidRPr="00FD2F53">
        <w:t>Complete this form and insert into the client file every time this waiver is used</w:t>
      </w:r>
      <w:r w:rsidR="00FD2F53">
        <w:t>:</w:t>
      </w:r>
    </w:p>
    <w:p w14:paraId="23D14000" w14:textId="77777777" w:rsidR="00FD2F53" w:rsidRPr="00FD2F53" w:rsidRDefault="00FD2F53" w:rsidP="00D770DD"/>
    <w:p w14:paraId="59CEF892" w14:textId="3C7F57E3" w:rsidR="00AA6EF7" w:rsidRDefault="00AA6EF7" w:rsidP="00FD2F53">
      <w:pPr>
        <w:pStyle w:val="ListParagraph"/>
        <w:numPr>
          <w:ilvl w:val="0"/>
          <w:numId w:val="4"/>
        </w:numPr>
      </w:pPr>
      <w:r>
        <w:t>Complete the</w:t>
      </w:r>
      <w:r w:rsidRPr="00AA6EF7">
        <w:t xml:space="preserve"> </w:t>
      </w:r>
      <w:r w:rsidR="00B156BD">
        <w:t>“</w:t>
      </w:r>
      <w:r w:rsidRPr="00AA6EF7">
        <w:t>Documentation Checklist</w:t>
      </w:r>
      <w:r w:rsidR="00B156BD">
        <w:t>”</w:t>
      </w:r>
      <w:r w:rsidRPr="00AA6EF7">
        <w:t xml:space="preserve"> section of this form</w:t>
      </w:r>
      <w:r>
        <w:t xml:space="preserve"> to ensure that </w:t>
      </w:r>
      <w:r w:rsidR="0053642F">
        <w:t>all necessary addition documentation is</w:t>
      </w:r>
      <w:r w:rsidRPr="00AA6EF7">
        <w:t xml:space="preserve"> include</w:t>
      </w:r>
      <w:r w:rsidR="0053642F">
        <w:t>d</w:t>
      </w:r>
      <w:r w:rsidRPr="00AA6EF7">
        <w:t xml:space="preserve"> in the client</w:t>
      </w:r>
      <w:r w:rsidR="0053642F">
        <w:t>’</w:t>
      </w:r>
      <w:r w:rsidRPr="00AA6EF7">
        <w:t xml:space="preserve">s file, along with this </w:t>
      </w:r>
      <w:r>
        <w:t xml:space="preserve">completed </w:t>
      </w:r>
      <w:r w:rsidRPr="00AA6EF7">
        <w:t>form.</w:t>
      </w:r>
    </w:p>
    <w:p w14:paraId="6FF61A83" w14:textId="4DDBD8C6" w:rsidR="005C7B0D" w:rsidRDefault="0053642F" w:rsidP="00FD2F53">
      <w:pPr>
        <w:pStyle w:val="ListParagraph"/>
        <w:numPr>
          <w:ilvl w:val="0"/>
          <w:numId w:val="4"/>
        </w:numPr>
      </w:pPr>
      <w:r>
        <w:t>Complete the</w:t>
      </w:r>
      <w:r w:rsidR="00E426C0" w:rsidRPr="00AA6EF7">
        <w:t xml:space="preserve"> </w:t>
      </w:r>
      <w:r w:rsidR="00B156BD">
        <w:t>“</w:t>
      </w:r>
      <w:r w:rsidR="00E426C0" w:rsidRPr="00AA6EF7">
        <w:t>Justification</w:t>
      </w:r>
      <w:r w:rsidR="00881606">
        <w:t xml:space="preserve"> for Use of Waiver</w:t>
      </w:r>
      <w:r w:rsidR="00B156BD">
        <w:t>”</w:t>
      </w:r>
      <w:r w:rsidR="00AA6EF7">
        <w:t xml:space="preserve"> section </w:t>
      </w:r>
      <w:r w:rsidR="00E426C0" w:rsidRPr="00AA6EF7">
        <w:t>on the reverse side of this form.</w:t>
      </w:r>
    </w:p>
    <w:p w14:paraId="3F2FCD62" w14:textId="3B283574" w:rsidR="0053642F" w:rsidRPr="00AA6EF7" w:rsidRDefault="0053642F" w:rsidP="00FD2F53">
      <w:pPr>
        <w:pStyle w:val="ListParagraph"/>
        <w:numPr>
          <w:ilvl w:val="0"/>
          <w:numId w:val="4"/>
        </w:numPr>
      </w:pPr>
      <w:r>
        <w:t>Insert this form (and all documentation listed in the Documentation Checklist) in the client’s file.</w:t>
      </w:r>
    </w:p>
    <w:p w14:paraId="48C94E10" w14:textId="43671CE6" w:rsidR="006B6E74" w:rsidRDefault="006B6E74" w:rsidP="006B6E74">
      <w:pPr>
        <w:pStyle w:val="Heading1"/>
      </w:pPr>
      <w:r>
        <w:t>Documentation Checklist:</w:t>
      </w:r>
    </w:p>
    <w:p w14:paraId="65CC7D8B" w14:textId="77777777" w:rsidR="0053642F" w:rsidRPr="0053642F" w:rsidRDefault="0053642F" w:rsidP="0053642F"/>
    <w:p w14:paraId="1237F92D" w14:textId="6E725913" w:rsidR="00A42E7D" w:rsidRDefault="0053642F" w:rsidP="0053642F">
      <w:r w:rsidRPr="0053642F">
        <w:rPr>
          <w:b/>
          <w:bCs/>
        </w:rPr>
        <w:t>Client name:</w:t>
      </w:r>
      <w:r w:rsidRPr="0053642F">
        <w:t xml:space="preserve"> ____________________________________________   </w:t>
      </w:r>
      <w:r w:rsidRPr="0053642F">
        <w:rPr>
          <w:b/>
          <w:bCs/>
        </w:rPr>
        <w:t>Date:</w:t>
      </w:r>
      <w:r w:rsidRPr="0053642F">
        <w:t xml:space="preserve"> ____________________________</w:t>
      </w:r>
    </w:p>
    <w:p w14:paraId="33D011A2" w14:textId="058B2199" w:rsidR="002F23C6" w:rsidRDefault="002F23C6" w:rsidP="0053642F"/>
    <w:p w14:paraId="72F5607D" w14:textId="5CCB1A8D" w:rsidR="002F23C6" w:rsidRPr="00881606" w:rsidRDefault="00881606" w:rsidP="0053642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38603" wp14:editId="303AC579">
                <wp:simplePos x="0" y="0"/>
                <wp:positionH relativeFrom="column">
                  <wp:posOffset>4132792</wp:posOffset>
                </wp:positionH>
                <wp:positionV relativeFrom="paragraph">
                  <wp:posOffset>32385</wp:posOffset>
                </wp:positionV>
                <wp:extent cx="135255" cy="127000"/>
                <wp:effectExtent l="0" t="0" r="1714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3DB08" id="Rectangle 1" o:spid="_x0000_s1026" style="position:absolute;margin-left:325.4pt;margin-top:2.55pt;width:10.6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" filled="f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3F772" wp14:editId="48659857">
                <wp:simplePos x="0" y="0"/>
                <wp:positionH relativeFrom="column">
                  <wp:posOffset>2620010</wp:posOffset>
                </wp:positionH>
                <wp:positionV relativeFrom="paragraph">
                  <wp:posOffset>39582</wp:posOffset>
                </wp:positionV>
                <wp:extent cx="135255" cy="127000"/>
                <wp:effectExtent l="0" t="0" r="1714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CB4A9" id="Rectangle 2" o:spid="_x0000_s1026" style="position:absolute;margin-left:206.3pt;margin-top:3.1pt;width:10.6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" filled="f" strokecolor="black [3213]" strokeweight="1pt"/>
            </w:pict>
          </mc:Fallback>
        </mc:AlternateContent>
      </w:r>
      <w:proofErr w:type="spellStart"/>
      <w:r w:rsidRPr="00881606">
        <w:rPr>
          <w:b/>
          <w:bCs/>
        </w:rPr>
        <w:t>CoC</w:t>
      </w:r>
      <w:proofErr w:type="spellEnd"/>
      <w:r w:rsidRPr="00881606">
        <w:rPr>
          <w:b/>
          <w:bCs/>
        </w:rPr>
        <w:t xml:space="preserve"> funds were used for:</w:t>
      </w:r>
      <w:r w:rsidRPr="00881606">
        <w:t xml:space="preserve"> </w:t>
      </w:r>
      <w:r>
        <w:t xml:space="preserve"> Rental Arrears</w:t>
      </w:r>
      <w:r>
        <w:tab/>
      </w:r>
      <w:r>
        <w:tab/>
        <w:t>Utility Arrears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9683"/>
        <w:gridCol w:w="1107"/>
      </w:tblGrid>
      <w:tr w:rsidR="00044D19" w:rsidRPr="005919EE" w14:paraId="74850E99" w14:textId="77777777" w:rsidTr="008D623C">
        <w:trPr>
          <w:trHeight w:val="418"/>
        </w:trPr>
        <w:tc>
          <w:tcPr>
            <w:tcW w:w="4487" w:type="pct"/>
            <w:shd w:val="clear" w:color="auto" w:fill="D9E2F3" w:themeFill="accent1" w:themeFillTint="33"/>
            <w:vAlign w:val="center"/>
          </w:tcPr>
          <w:p w14:paraId="7D401F23" w14:textId="61529DB7" w:rsidR="00044D19" w:rsidRPr="005919EE" w:rsidRDefault="00044D19" w:rsidP="000B1CDA">
            <w:pPr>
              <w:rPr>
                <w:b/>
                <w:bCs/>
                <w:sz w:val="24"/>
                <w:szCs w:val="24"/>
              </w:rPr>
            </w:pPr>
            <w:r w:rsidRPr="005919EE">
              <w:rPr>
                <w:b/>
                <w:bCs/>
                <w:sz w:val="24"/>
                <w:szCs w:val="24"/>
              </w:rPr>
              <w:t>The following additional documentation is included in the client’s file:</w:t>
            </w:r>
          </w:p>
        </w:tc>
        <w:tc>
          <w:tcPr>
            <w:tcW w:w="513" w:type="pct"/>
            <w:shd w:val="clear" w:color="auto" w:fill="D9E2F3" w:themeFill="accent1" w:themeFillTint="33"/>
          </w:tcPr>
          <w:p w14:paraId="1FF77D0D" w14:textId="42438DD2" w:rsidR="00044D19" w:rsidRPr="005919EE" w:rsidRDefault="00044D19" w:rsidP="000B1CDA">
            <w:pPr>
              <w:rPr>
                <w:b/>
                <w:bCs/>
                <w:sz w:val="24"/>
                <w:szCs w:val="24"/>
              </w:rPr>
            </w:pPr>
            <w:r w:rsidRPr="005919EE">
              <w:rPr>
                <w:b/>
                <w:bCs/>
                <w:sz w:val="24"/>
                <w:szCs w:val="24"/>
              </w:rPr>
              <w:t>Checklist</w:t>
            </w:r>
          </w:p>
        </w:tc>
      </w:tr>
      <w:tr w:rsidR="00044D19" w:rsidRPr="005919EE" w14:paraId="191A83AA" w14:textId="77777777" w:rsidTr="00C96C66">
        <w:trPr>
          <w:trHeight w:val="1184"/>
        </w:trPr>
        <w:tc>
          <w:tcPr>
            <w:tcW w:w="4487" w:type="pct"/>
            <w:shd w:val="clear" w:color="auto" w:fill="auto"/>
            <w:vAlign w:val="center"/>
          </w:tcPr>
          <w:p w14:paraId="7A2775DA" w14:textId="000C71B9" w:rsidR="00044D19" w:rsidRPr="005919EE" w:rsidRDefault="005919EE" w:rsidP="000B1CDA">
            <w:pPr>
              <w:rPr>
                <w:sz w:val="24"/>
                <w:szCs w:val="24"/>
              </w:rPr>
            </w:pPr>
            <w:r w:rsidRPr="005919EE">
              <w:rPr>
                <w:sz w:val="24"/>
                <w:szCs w:val="24"/>
              </w:rPr>
              <w:t>Proof of the client’s inability to obtain housing as a direct result of rent and/or utility arrears</w:t>
            </w:r>
            <w:r w:rsidR="008D623C">
              <w:rPr>
                <w:sz w:val="24"/>
                <w:szCs w:val="24"/>
              </w:rPr>
              <w:t xml:space="preserve"> (e.g. written statement from a landlord that they will not rent to the client due to the rental or utility arrears</w:t>
            </w:r>
          </w:p>
        </w:tc>
        <w:tc>
          <w:tcPr>
            <w:tcW w:w="513" w:type="pct"/>
            <w:shd w:val="clear" w:color="auto" w:fill="auto"/>
          </w:tcPr>
          <w:p w14:paraId="56E1377C" w14:textId="77777777" w:rsidR="00044D19" w:rsidRPr="005919EE" w:rsidRDefault="00044D19" w:rsidP="000B1CD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5BCDC24" w14:textId="7605E8DC" w:rsidR="00044D19" w:rsidRDefault="00044D19" w:rsidP="00E426C0"/>
    <w:p w14:paraId="5BC3303D" w14:textId="5C803B52" w:rsidR="006A0703" w:rsidRDefault="006A0703" w:rsidP="00E426C0"/>
    <w:p w14:paraId="3E7090D5" w14:textId="77777777" w:rsidR="00E572C5" w:rsidRPr="00FD2F53" w:rsidRDefault="00E572C5" w:rsidP="00E426C0"/>
    <w:p w14:paraId="40C869A6" w14:textId="77777777" w:rsidR="006A0703" w:rsidRPr="00E426C0" w:rsidRDefault="006A0703" w:rsidP="006A0703">
      <w:pPr>
        <w:pStyle w:val="Heading1"/>
      </w:pPr>
      <w:r w:rsidRPr="00E426C0">
        <w:lastRenderedPageBreak/>
        <w:t>Justification for Use of Waiver</w:t>
      </w:r>
    </w:p>
    <w:p w14:paraId="6389D3D4" w14:textId="77DEFDD5" w:rsidR="006A0703" w:rsidRPr="00FD2F53" w:rsidRDefault="006A0703" w:rsidP="006A0703">
      <w:r w:rsidRPr="00FD2F53">
        <w:t xml:space="preserve">Explain why </w:t>
      </w:r>
      <w:r>
        <w:t>the client was unable to obtain permanent housing as a direct result of rental or utility arrears.  The</w:t>
      </w:r>
      <w:r w:rsidRPr="00FD2F53">
        <w:t xml:space="preserve"> explanation </w:t>
      </w:r>
      <w:r>
        <w:t>must</w:t>
      </w:r>
      <w:r w:rsidRPr="00FD2F53">
        <w:t xml:space="preserve"> be specific to this client’s situation.</w:t>
      </w:r>
    </w:p>
    <w:p w14:paraId="399053A4" w14:textId="77777777" w:rsidR="006A0703" w:rsidRPr="00FD2F53" w:rsidRDefault="006A0703" w:rsidP="006A0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0703" w:rsidRPr="00FD2F53" w14:paraId="33AF30B5" w14:textId="77777777" w:rsidTr="00195C6E">
        <w:trPr>
          <w:trHeight w:val="5246"/>
        </w:trPr>
        <w:tc>
          <w:tcPr>
            <w:tcW w:w="10790" w:type="dxa"/>
          </w:tcPr>
          <w:p w14:paraId="70E59C6F" w14:textId="77777777" w:rsidR="006A0703" w:rsidRPr="00FD2F53" w:rsidRDefault="006A0703" w:rsidP="00195C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D3FE270" w14:textId="66DEA00D" w:rsidR="00044D19" w:rsidRPr="00FD2F53" w:rsidRDefault="00044D19" w:rsidP="00E426C0"/>
    <w:p w14:paraId="05AF09DD" w14:textId="271A0F6B" w:rsidR="00044D19" w:rsidRPr="00FD2F53" w:rsidRDefault="00044D19" w:rsidP="00E426C0"/>
    <w:p w14:paraId="2DCE5530" w14:textId="77777777" w:rsidR="00044D19" w:rsidRPr="00FD2F53" w:rsidRDefault="00044D19" w:rsidP="00E426C0"/>
    <w:p w14:paraId="2FF87EB2" w14:textId="4F62182F" w:rsidR="00E426C0" w:rsidRDefault="00E426C0" w:rsidP="00E426C0"/>
    <w:p w14:paraId="6B213CB1" w14:textId="77777777" w:rsidR="00E426C0" w:rsidRDefault="00E426C0" w:rsidP="00E426C0"/>
    <w:p w14:paraId="75223DD2" w14:textId="77777777" w:rsidR="000B1CDA" w:rsidRDefault="000B1CDA"/>
    <w:p w14:paraId="3DAA944E" w14:textId="77777777" w:rsidR="00E101D4" w:rsidRDefault="00E101D4"/>
    <w:p w14:paraId="54084748" w14:textId="77777777" w:rsidR="000B1CDA" w:rsidRDefault="000B1CDA"/>
    <w:p w14:paraId="5CA371EB" w14:textId="77777777" w:rsidR="000B1CDA" w:rsidRDefault="000B1CDA"/>
    <w:p w14:paraId="05561945" w14:textId="77777777" w:rsidR="000B1CDA" w:rsidRDefault="000B1CDA"/>
    <w:p w14:paraId="531417D3" w14:textId="77777777" w:rsidR="000B1CDA" w:rsidRDefault="000B1CDA"/>
    <w:sectPr w:rsidR="000B1CDA" w:rsidSect="008448AB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omebase" w:date="2020-04-20T14:41:00Z" w:initials="EH">
    <w:p w14:paraId="351F58D4" w14:textId="77777777" w:rsidR="00CD1D8E" w:rsidRDefault="00CD1D8E" w:rsidP="00CD1D8E">
      <w:pPr>
        <w:pStyle w:val="CommentText"/>
      </w:pPr>
      <w:r>
        <w:rPr>
          <w:rStyle w:val="CommentReference"/>
        </w:rPr>
        <w:annotationRef/>
      </w:r>
      <w:r>
        <w:t>This form must be modified before it is used. Replace or delete yellow-highlighted text to customize this form for each grantee.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1F58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1F58D4" w16cid:durableId="224833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AE53" w14:textId="77777777" w:rsidR="00602EF3" w:rsidRDefault="00602EF3" w:rsidP="008448AB">
      <w:r>
        <w:separator/>
      </w:r>
    </w:p>
  </w:endnote>
  <w:endnote w:type="continuationSeparator" w:id="0">
    <w:p w14:paraId="03657BFD" w14:textId="77777777" w:rsidR="00602EF3" w:rsidRDefault="00602EF3" w:rsidP="0084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628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F9A82F" w14:textId="7D7ECE70" w:rsidR="00724FDA" w:rsidRDefault="00724FDA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13142C" w14:textId="77777777" w:rsidR="00724FDA" w:rsidRDefault="00724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63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5C06C5" w14:textId="54FC3930" w:rsidR="00724FDA" w:rsidRDefault="00724FDA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01EFDF" w14:textId="77777777" w:rsidR="00724FDA" w:rsidRDefault="00724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9BD2" w14:textId="77777777" w:rsidR="00602EF3" w:rsidRDefault="00602EF3" w:rsidP="008448AB">
      <w:r>
        <w:separator/>
      </w:r>
    </w:p>
  </w:footnote>
  <w:footnote w:type="continuationSeparator" w:id="0">
    <w:p w14:paraId="6FF2A52D" w14:textId="77777777" w:rsidR="00602EF3" w:rsidRDefault="00602EF3" w:rsidP="0084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4AD9" w14:textId="77777777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>Santa Clara County Co</w:t>
    </w:r>
    <w:r>
      <w:rPr>
        <w:sz w:val="20"/>
        <w:szCs w:val="20"/>
      </w:rPr>
      <w:t xml:space="preserve">ntinuum of Care </w:t>
    </w:r>
  </w:p>
  <w:p w14:paraId="2CD01E48" w14:textId="51D3A19C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 xml:space="preserve">Form Updated: </w:t>
    </w:r>
    <w:r w:rsidR="008D04BE">
      <w:rPr>
        <w:sz w:val="20"/>
        <w:szCs w:val="20"/>
      </w:rPr>
      <w:t>May</w:t>
    </w:r>
    <w:r w:rsidRPr="006A7706">
      <w:rPr>
        <w:sz w:val="20"/>
        <w:szCs w:val="20"/>
      </w:rPr>
      <w:t xml:space="preserve"> </w:t>
    </w:r>
    <w:r w:rsidR="008D04BE">
      <w:rPr>
        <w:sz w:val="20"/>
        <w:szCs w:val="20"/>
      </w:rPr>
      <w:t>4</w:t>
    </w:r>
    <w:r w:rsidRPr="006A7706">
      <w:rPr>
        <w:sz w:val="20"/>
        <w:szCs w:val="20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DD3"/>
    <w:multiLevelType w:val="hybridMultilevel"/>
    <w:tmpl w:val="6662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A16958"/>
    <w:multiLevelType w:val="hybridMultilevel"/>
    <w:tmpl w:val="5A36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7976"/>
    <w:multiLevelType w:val="hybridMultilevel"/>
    <w:tmpl w:val="B3844F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75C89"/>
    <w:multiLevelType w:val="hybridMultilevel"/>
    <w:tmpl w:val="57E4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AB"/>
    <w:rsid w:val="00013A2A"/>
    <w:rsid w:val="00026C8C"/>
    <w:rsid w:val="00044D19"/>
    <w:rsid w:val="00056F2A"/>
    <w:rsid w:val="000726B7"/>
    <w:rsid w:val="00096A11"/>
    <w:rsid w:val="000B1CDA"/>
    <w:rsid w:val="000B473E"/>
    <w:rsid w:val="00122626"/>
    <w:rsid w:val="00130C80"/>
    <w:rsid w:val="001D2020"/>
    <w:rsid w:val="002460F3"/>
    <w:rsid w:val="002D1268"/>
    <w:rsid w:val="002F23C6"/>
    <w:rsid w:val="00324CA9"/>
    <w:rsid w:val="00375D21"/>
    <w:rsid w:val="00376D4C"/>
    <w:rsid w:val="00383472"/>
    <w:rsid w:val="003F78A4"/>
    <w:rsid w:val="00402137"/>
    <w:rsid w:val="00433E6F"/>
    <w:rsid w:val="0045755E"/>
    <w:rsid w:val="004837A4"/>
    <w:rsid w:val="0053642F"/>
    <w:rsid w:val="0055080D"/>
    <w:rsid w:val="005919EE"/>
    <w:rsid w:val="005C04B6"/>
    <w:rsid w:val="005C7B0D"/>
    <w:rsid w:val="00602EF3"/>
    <w:rsid w:val="006439AB"/>
    <w:rsid w:val="00651357"/>
    <w:rsid w:val="0066353B"/>
    <w:rsid w:val="00672DBA"/>
    <w:rsid w:val="006A0703"/>
    <w:rsid w:val="006A7706"/>
    <w:rsid w:val="006B060A"/>
    <w:rsid w:val="006B6E74"/>
    <w:rsid w:val="006D22D5"/>
    <w:rsid w:val="006D7A0A"/>
    <w:rsid w:val="006E6BD1"/>
    <w:rsid w:val="00724FDA"/>
    <w:rsid w:val="00757C0A"/>
    <w:rsid w:val="007A2AC9"/>
    <w:rsid w:val="007D61D1"/>
    <w:rsid w:val="007F3F84"/>
    <w:rsid w:val="00821672"/>
    <w:rsid w:val="008448AB"/>
    <w:rsid w:val="00881606"/>
    <w:rsid w:val="008D04BE"/>
    <w:rsid w:val="008D3B92"/>
    <w:rsid w:val="008D623C"/>
    <w:rsid w:val="008D6463"/>
    <w:rsid w:val="00952236"/>
    <w:rsid w:val="009B5514"/>
    <w:rsid w:val="009D327B"/>
    <w:rsid w:val="009E4843"/>
    <w:rsid w:val="00A42E7D"/>
    <w:rsid w:val="00AA6EF7"/>
    <w:rsid w:val="00AA71C8"/>
    <w:rsid w:val="00AC639A"/>
    <w:rsid w:val="00B06751"/>
    <w:rsid w:val="00B156BD"/>
    <w:rsid w:val="00B339D4"/>
    <w:rsid w:val="00BA5C09"/>
    <w:rsid w:val="00BA67AB"/>
    <w:rsid w:val="00C03A1D"/>
    <w:rsid w:val="00C6091E"/>
    <w:rsid w:val="00C708D7"/>
    <w:rsid w:val="00C96C66"/>
    <w:rsid w:val="00CB018C"/>
    <w:rsid w:val="00CD1D8E"/>
    <w:rsid w:val="00D2169B"/>
    <w:rsid w:val="00D40B24"/>
    <w:rsid w:val="00D67207"/>
    <w:rsid w:val="00D770DD"/>
    <w:rsid w:val="00E101D4"/>
    <w:rsid w:val="00E426C0"/>
    <w:rsid w:val="00E572C5"/>
    <w:rsid w:val="00E671D4"/>
    <w:rsid w:val="00E705D3"/>
    <w:rsid w:val="00EB5B07"/>
    <w:rsid w:val="00EC76FB"/>
    <w:rsid w:val="00F61AB8"/>
    <w:rsid w:val="00F776EC"/>
    <w:rsid w:val="00FB1FCF"/>
    <w:rsid w:val="00FD2F5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9226"/>
  <w14:defaultImageDpi w14:val="32767"/>
  <w15:chartTrackingRefBased/>
  <w15:docId w15:val="{91AFB0A4-A13C-9940-BB3C-9B0155E9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B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B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0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9AB"/>
    <w:pPr>
      <w:ind w:left="720"/>
      <w:contextualSpacing/>
    </w:pPr>
  </w:style>
  <w:style w:type="table" w:styleId="TableGrid">
    <w:name w:val="Table Grid"/>
    <w:basedOn w:val="TableNormal"/>
    <w:uiPriority w:val="39"/>
    <w:rsid w:val="000B1C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AB"/>
  </w:style>
  <w:style w:type="paragraph" w:styleId="Footer">
    <w:name w:val="footer"/>
    <w:basedOn w:val="Normal"/>
    <w:link w:val="Foot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B"/>
  </w:style>
  <w:style w:type="character" w:styleId="PageNumber">
    <w:name w:val="page number"/>
    <w:basedOn w:val="DefaultParagraphFont"/>
    <w:uiPriority w:val="99"/>
    <w:semiHidden/>
    <w:unhideWhenUsed/>
    <w:rsid w:val="0072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D2365BB08E44A62877A1B6636FA6" ma:contentTypeVersion="1" ma:contentTypeDescription="Create a new document." ma:contentTypeScope="" ma:versionID="b12bbd714ae5163d9401975326935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005A34-B180-4E41-B9A5-4990F5196BF0}"/>
</file>

<file path=customXml/itemProps2.xml><?xml version="1.0" encoding="utf-8"?>
<ds:datastoreItem xmlns:ds="http://schemas.openxmlformats.org/officeDocument/2006/customXml" ds:itemID="{6C19D2F9-B214-44DC-AF1F-898FF054B845}"/>
</file>

<file path=customXml/itemProps3.xml><?xml version="1.0" encoding="utf-8"?>
<ds:datastoreItem xmlns:ds="http://schemas.openxmlformats.org/officeDocument/2006/customXml" ds:itemID="{40AFEDA4-8EDE-4E5D-9315-D33E943968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Homebase</cp:lastModifiedBy>
  <cp:revision>14</cp:revision>
  <dcterms:created xsi:type="dcterms:W3CDTF">2020-04-26T18:39:00Z</dcterms:created>
  <dcterms:modified xsi:type="dcterms:W3CDTF">2020-05-05T17:18:00Z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0x0101003843D2365BB08E44A62877A1B6636FA6</vt:lpwstr>
  </property>
</Properties>
</file>